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E918B" w14:textId="77777777" w:rsidR="00DA45E9" w:rsidRDefault="00DA45E9" w:rsidP="006D775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STIPULATION OF LEAD COUNSEL RE:</w:t>
      </w:r>
      <w:r w:rsidR="00814080" w:rsidRPr="006D7756">
        <w:rPr>
          <w:b/>
          <w:sz w:val="24"/>
          <w:szCs w:val="24"/>
        </w:rPr>
        <w:t xml:space="preserve"> </w:t>
      </w:r>
    </w:p>
    <w:p w14:paraId="4325FC52" w14:textId="07E26DEC" w:rsidR="00814080" w:rsidRDefault="00814080" w:rsidP="00DA45E9">
      <w:pPr>
        <w:jc w:val="center"/>
        <w:rPr>
          <w:b/>
          <w:sz w:val="24"/>
          <w:szCs w:val="24"/>
        </w:rPr>
      </w:pPr>
      <w:r w:rsidRPr="006D7756">
        <w:rPr>
          <w:b/>
          <w:sz w:val="24"/>
          <w:szCs w:val="24"/>
        </w:rPr>
        <w:t>MDL Transcripts Intended to be Placed on Court’s External Website</w:t>
      </w:r>
    </w:p>
    <w:p w14:paraId="735DC76E" w14:textId="37BD6DA0" w:rsidR="00814080" w:rsidRPr="006D7756" w:rsidRDefault="00814080" w:rsidP="00897CA3">
      <w:pPr>
        <w:rPr>
          <w:sz w:val="24"/>
          <w:szCs w:val="24"/>
        </w:rPr>
      </w:pPr>
      <w:r w:rsidRPr="006D7756">
        <w:rPr>
          <w:sz w:val="24"/>
          <w:szCs w:val="24"/>
        </w:rPr>
        <w:t>Plaintiffs’ Lead Counsel and the Defendant’s Lead Counsel have agreed to the following provisions concerning transcripts produced from MDL</w:t>
      </w:r>
      <w:r w:rsidR="00897CA3" w:rsidRPr="006D7756">
        <w:rPr>
          <w:sz w:val="24"/>
          <w:szCs w:val="24"/>
        </w:rPr>
        <w:t xml:space="preserve"> status conferences and other hearings that relate to the MDL. </w:t>
      </w:r>
    </w:p>
    <w:p w14:paraId="6FB8B241" w14:textId="77777777" w:rsidR="00897CA3" w:rsidRDefault="00897CA3" w:rsidP="00897C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D7756">
        <w:rPr>
          <w:sz w:val="24"/>
          <w:szCs w:val="24"/>
        </w:rPr>
        <w:t>A transcript will be produced from every MDL status conference and MDL hearing. The parties do not need to submit a transcript request form to have a transcript produced of these proceedings.</w:t>
      </w:r>
    </w:p>
    <w:p w14:paraId="1B9B6C04" w14:textId="77777777" w:rsidR="006D7756" w:rsidRPr="006D7756" w:rsidRDefault="006D7756" w:rsidP="006D7756">
      <w:pPr>
        <w:pStyle w:val="ListParagraph"/>
        <w:rPr>
          <w:sz w:val="24"/>
          <w:szCs w:val="24"/>
        </w:rPr>
      </w:pPr>
    </w:p>
    <w:p w14:paraId="348B876E" w14:textId="77777777" w:rsidR="00066ED3" w:rsidRDefault="00066ED3" w:rsidP="006D77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parties agree to pay the court reporter for their share of the transcript costs immediately upon receipt of the transcript.</w:t>
      </w:r>
    </w:p>
    <w:p w14:paraId="67D766B8" w14:textId="77777777" w:rsidR="00066ED3" w:rsidRPr="00066ED3" w:rsidRDefault="00066ED3" w:rsidP="00066ED3">
      <w:pPr>
        <w:pStyle w:val="ListParagraph"/>
        <w:rPr>
          <w:sz w:val="24"/>
          <w:szCs w:val="24"/>
        </w:rPr>
      </w:pPr>
    </w:p>
    <w:p w14:paraId="4D8C7FED" w14:textId="285090EE" w:rsidR="006D7756" w:rsidRDefault="00066ED3" w:rsidP="006D77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897CA3" w:rsidRPr="006D7756">
        <w:rPr>
          <w:sz w:val="24"/>
          <w:szCs w:val="24"/>
        </w:rPr>
        <w:t xml:space="preserve">he court reporter will deliver the transcript to </w:t>
      </w:r>
      <w:r>
        <w:rPr>
          <w:sz w:val="24"/>
          <w:szCs w:val="24"/>
        </w:rPr>
        <w:t>______ for the Plaintiffs and ______ for the Defendant</w:t>
      </w:r>
      <w:r w:rsidR="00C50457">
        <w:rPr>
          <w:sz w:val="24"/>
          <w:szCs w:val="24"/>
        </w:rPr>
        <w:t xml:space="preserve"> within two hours after the proceeding </w:t>
      </w:r>
      <w:r w:rsidR="00897CA3" w:rsidRPr="006D7756">
        <w:rPr>
          <w:sz w:val="24"/>
          <w:szCs w:val="24"/>
        </w:rPr>
        <w:t xml:space="preserve">and will charge the </w:t>
      </w:r>
      <w:r w:rsidR="00C50457">
        <w:rPr>
          <w:sz w:val="24"/>
          <w:szCs w:val="24"/>
        </w:rPr>
        <w:t>hourly</w:t>
      </w:r>
      <w:r w:rsidR="00897CA3" w:rsidRPr="006D7756">
        <w:rPr>
          <w:sz w:val="24"/>
          <w:szCs w:val="24"/>
        </w:rPr>
        <w:t xml:space="preserve"> transcript rate plus one copy, with the costs to be split between the Plaintiffs and Defendant. </w:t>
      </w:r>
    </w:p>
    <w:p w14:paraId="3D7786F6" w14:textId="77777777" w:rsidR="00D43E21" w:rsidRPr="00D43E21" w:rsidRDefault="00D43E21" w:rsidP="00D43E21">
      <w:pPr>
        <w:pStyle w:val="ListParagraph"/>
        <w:rPr>
          <w:sz w:val="24"/>
          <w:szCs w:val="24"/>
        </w:rPr>
      </w:pPr>
    </w:p>
    <w:p w14:paraId="35D4BD86" w14:textId="0CEC9D8E" w:rsidR="00D43E21" w:rsidRPr="006D7756" w:rsidRDefault="00D43E21" w:rsidP="00D43E2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[Please indicate here if the Plaintiffs or Defendants also request additional copies in the form of ASCII, PDF, or </w:t>
      </w:r>
      <w:r w:rsidR="00B55126">
        <w:rPr>
          <w:sz w:val="24"/>
          <w:szCs w:val="24"/>
        </w:rPr>
        <w:t>other</w:t>
      </w:r>
      <w:r>
        <w:rPr>
          <w:sz w:val="24"/>
          <w:szCs w:val="24"/>
        </w:rPr>
        <w:t xml:space="preserve"> versions.] </w:t>
      </w:r>
    </w:p>
    <w:p w14:paraId="22149432" w14:textId="77777777" w:rsidR="006D7756" w:rsidRPr="006D7756" w:rsidRDefault="006D7756" w:rsidP="006D7756">
      <w:pPr>
        <w:pStyle w:val="ListParagraph"/>
        <w:rPr>
          <w:sz w:val="24"/>
          <w:szCs w:val="24"/>
        </w:rPr>
      </w:pPr>
    </w:p>
    <w:p w14:paraId="0A8607A0" w14:textId="4F0C2B4A" w:rsidR="006D7756" w:rsidRPr="006D7756" w:rsidRDefault="00897CA3" w:rsidP="006D77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D7756">
        <w:rPr>
          <w:sz w:val="24"/>
          <w:szCs w:val="24"/>
        </w:rPr>
        <w:t xml:space="preserve">If the court reporter is unable to deliver the transcript </w:t>
      </w:r>
      <w:r w:rsidR="00C50457">
        <w:rPr>
          <w:sz w:val="24"/>
          <w:szCs w:val="24"/>
        </w:rPr>
        <w:t>within two hours after the proceeding</w:t>
      </w:r>
      <w:r w:rsidRPr="006D7756">
        <w:rPr>
          <w:sz w:val="24"/>
          <w:szCs w:val="24"/>
        </w:rPr>
        <w:t>, the court reporter will charge the transcript rate, plus one copy, based on when the tr</w:t>
      </w:r>
      <w:r w:rsidR="006D7756">
        <w:rPr>
          <w:sz w:val="24"/>
          <w:szCs w:val="24"/>
        </w:rPr>
        <w:t xml:space="preserve">anscript was </w:t>
      </w:r>
      <w:proofErr w:type="gramStart"/>
      <w:r w:rsidR="006D7756">
        <w:rPr>
          <w:sz w:val="24"/>
          <w:szCs w:val="24"/>
        </w:rPr>
        <w:t>actually delivered</w:t>
      </w:r>
      <w:proofErr w:type="gramEnd"/>
      <w:r w:rsidR="00D43E21">
        <w:rPr>
          <w:sz w:val="24"/>
          <w:szCs w:val="24"/>
        </w:rPr>
        <w:t>, and any additional requested copies.</w:t>
      </w:r>
    </w:p>
    <w:p w14:paraId="52DF4736" w14:textId="77777777" w:rsidR="006D7756" w:rsidRPr="006D7756" w:rsidRDefault="006D7756" w:rsidP="006D7756">
      <w:pPr>
        <w:pStyle w:val="ListParagraph"/>
        <w:rPr>
          <w:sz w:val="24"/>
          <w:szCs w:val="24"/>
        </w:rPr>
      </w:pPr>
    </w:p>
    <w:p w14:paraId="5ABBC466" w14:textId="77777777" w:rsidR="00477054" w:rsidRPr="006D7756" w:rsidRDefault="00897CA3" w:rsidP="00897C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D7756">
        <w:rPr>
          <w:sz w:val="24"/>
          <w:szCs w:val="24"/>
        </w:rPr>
        <w:t xml:space="preserve">Parties agree that at MDL status conferences and other MDL hearings, they will avoid discussing personal identifiers on the court record. </w:t>
      </w:r>
    </w:p>
    <w:p w14:paraId="706A5877" w14:textId="418B6789" w:rsidR="00477054" w:rsidRPr="006D7756" w:rsidRDefault="00897CA3" w:rsidP="0047705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D7756">
        <w:rPr>
          <w:sz w:val="24"/>
          <w:szCs w:val="24"/>
        </w:rPr>
        <w:t xml:space="preserve">If a party believes that personal identifiers were mentioned during such proceedings, </w:t>
      </w:r>
      <w:r w:rsidR="00477054" w:rsidRPr="006D7756">
        <w:rPr>
          <w:sz w:val="24"/>
          <w:szCs w:val="24"/>
        </w:rPr>
        <w:t>the party</w:t>
      </w:r>
      <w:r w:rsidRPr="006D7756">
        <w:rPr>
          <w:sz w:val="24"/>
          <w:szCs w:val="24"/>
        </w:rPr>
        <w:t xml:space="preserve"> must </w:t>
      </w:r>
      <w:r w:rsidR="00D43E21">
        <w:rPr>
          <w:sz w:val="24"/>
          <w:szCs w:val="24"/>
        </w:rPr>
        <w:t xml:space="preserve">file a </w:t>
      </w:r>
      <w:hyperlink r:id="rId7" w:history="1">
        <w:r w:rsidR="00D43E21" w:rsidRPr="0094154B">
          <w:rPr>
            <w:rStyle w:val="Hyperlink"/>
            <w:sz w:val="24"/>
            <w:szCs w:val="24"/>
          </w:rPr>
          <w:t>Notice of Intent to Request Redaction</w:t>
        </w:r>
      </w:hyperlink>
      <w:r w:rsidR="00D43E21">
        <w:rPr>
          <w:sz w:val="24"/>
          <w:szCs w:val="24"/>
        </w:rPr>
        <w:t xml:space="preserve"> in the case </w:t>
      </w:r>
      <w:r w:rsidRPr="006D7756">
        <w:rPr>
          <w:sz w:val="24"/>
          <w:szCs w:val="24"/>
        </w:rPr>
        <w:t>immediately after the proceeding</w:t>
      </w:r>
      <w:r w:rsidR="00477054" w:rsidRPr="006D7756">
        <w:rPr>
          <w:sz w:val="24"/>
          <w:szCs w:val="24"/>
        </w:rPr>
        <w:t xml:space="preserve"> to request an opportunity to redact the transcript</w:t>
      </w:r>
      <w:r w:rsidRPr="006D7756">
        <w:rPr>
          <w:sz w:val="24"/>
          <w:szCs w:val="24"/>
        </w:rPr>
        <w:t xml:space="preserve">. </w:t>
      </w:r>
    </w:p>
    <w:p w14:paraId="3AD0BE26" w14:textId="77777777" w:rsidR="00477054" w:rsidRPr="006D7756" w:rsidRDefault="00477054" w:rsidP="0047705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D7756">
        <w:rPr>
          <w:sz w:val="24"/>
          <w:szCs w:val="24"/>
        </w:rPr>
        <w:t xml:space="preserve">If a party requests an opportunity to redact the transcript, a </w:t>
      </w:r>
      <w:hyperlink r:id="rId8" w:history="1">
        <w:r w:rsidRPr="006D7756">
          <w:rPr>
            <w:rStyle w:val="Hyperlink"/>
            <w:sz w:val="24"/>
            <w:szCs w:val="24"/>
          </w:rPr>
          <w:t>Statement of Redaction</w:t>
        </w:r>
      </w:hyperlink>
      <w:r w:rsidRPr="006D7756">
        <w:rPr>
          <w:sz w:val="24"/>
          <w:szCs w:val="24"/>
        </w:rPr>
        <w:t xml:space="preserve"> must be filed in the case within two days after the transcript is delivered.</w:t>
      </w:r>
    </w:p>
    <w:p w14:paraId="751B8773" w14:textId="28D0AAF9" w:rsidR="00477054" w:rsidRDefault="00477054" w:rsidP="0047705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D7756">
        <w:rPr>
          <w:sz w:val="24"/>
          <w:szCs w:val="24"/>
        </w:rPr>
        <w:t>This expedited redaction request process will take the place</w:t>
      </w:r>
      <w:r w:rsidR="0094154B">
        <w:rPr>
          <w:sz w:val="24"/>
          <w:szCs w:val="24"/>
        </w:rPr>
        <w:t xml:space="preserve"> of</w:t>
      </w:r>
      <w:r w:rsidRPr="006D7756">
        <w:rPr>
          <w:sz w:val="24"/>
          <w:szCs w:val="24"/>
        </w:rPr>
        <w:t xml:space="preserve"> the redaction procedures </w:t>
      </w:r>
      <w:r w:rsidR="006D7756">
        <w:rPr>
          <w:sz w:val="24"/>
          <w:szCs w:val="24"/>
        </w:rPr>
        <w:t>outlined in LR 5.5.</w:t>
      </w:r>
    </w:p>
    <w:p w14:paraId="3C284A34" w14:textId="77777777" w:rsidR="006D7756" w:rsidRPr="006D7756" w:rsidRDefault="006D7756" w:rsidP="006D7756">
      <w:pPr>
        <w:pStyle w:val="ListParagraph"/>
        <w:ind w:left="1440"/>
        <w:rPr>
          <w:sz w:val="24"/>
          <w:szCs w:val="24"/>
        </w:rPr>
      </w:pPr>
    </w:p>
    <w:p w14:paraId="70B37771" w14:textId="77777777" w:rsidR="00477054" w:rsidRPr="006D7756" w:rsidRDefault="00477054" w:rsidP="004770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D7756">
        <w:rPr>
          <w:sz w:val="24"/>
          <w:szCs w:val="24"/>
        </w:rPr>
        <w:lastRenderedPageBreak/>
        <w:t xml:space="preserve">The court reporter will have a copy of the transcript uploaded to the Court’s external website on the appropriate MDL page within: </w:t>
      </w:r>
    </w:p>
    <w:p w14:paraId="2FFA1FFD" w14:textId="77777777" w:rsidR="00477054" w:rsidRPr="006D7756" w:rsidRDefault="00477054" w:rsidP="0047705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D7756">
        <w:rPr>
          <w:sz w:val="24"/>
          <w:szCs w:val="24"/>
        </w:rPr>
        <w:t>One business day of delivering the transcript if no party requests an opportunity to redact the transcript; or</w:t>
      </w:r>
    </w:p>
    <w:p w14:paraId="29AA0328" w14:textId="77777777" w:rsidR="00897CA3" w:rsidRDefault="00477054" w:rsidP="0047705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D7756">
        <w:rPr>
          <w:sz w:val="24"/>
          <w:szCs w:val="24"/>
        </w:rPr>
        <w:t xml:space="preserve"> Within one business day after a Statement of Redaction is filed. </w:t>
      </w:r>
    </w:p>
    <w:p w14:paraId="7A47CBA0" w14:textId="77777777" w:rsidR="00066ED3" w:rsidRPr="006D7756" w:rsidRDefault="00066ED3" w:rsidP="00066ED3">
      <w:pPr>
        <w:pStyle w:val="ListParagraph"/>
        <w:ind w:left="1440"/>
        <w:rPr>
          <w:sz w:val="24"/>
          <w:szCs w:val="24"/>
        </w:rPr>
      </w:pPr>
    </w:p>
    <w:p w14:paraId="2F5BBEE0" w14:textId="683BDDE8" w:rsidR="00477054" w:rsidRDefault="00477054" w:rsidP="004770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D7756">
        <w:rPr>
          <w:sz w:val="24"/>
          <w:szCs w:val="24"/>
        </w:rPr>
        <w:t xml:space="preserve">Parties must follow the general transcript request </w:t>
      </w:r>
      <w:hyperlink r:id="rId9" w:history="1">
        <w:r w:rsidRPr="006D7756">
          <w:rPr>
            <w:rStyle w:val="Hyperlink"/>
            <w:sz w:val="24"/>
            <w:szCs w:val="24"/>
          </w:rPr>
          <w:t>procedure</w:t>
        </w:r>
      </w:hyperlink>
      <w:r w:rsidRPr="006D7756">
        <w:rPr>
          <w:sz w:val="24"/>
          <w:szCs w:val="24"/>
        </w:rPr>
        <w:t xml:space="preserve"> for any proceeding concerning an individual case within the MDL. </w:t>
      </w:r>
    </w:p>
    <w:p w14:paraId="10883911" w14:textId="77777777" w:rsidR="0094154B" w:rsidRDefault="0094154B" w:rsidP="0094154B">
      <w:pPr>
        <w:rPr>
          <w:sz w:val="24"/>
          <w:szCs w:val="24"/>
        </w:rPr>
      </w:pPr>
    </w:p>
    <w:p w14:paraId="5BBD0A1C" w14:textId="25C4F8C4" w:rsidR="0094154B" w:rsidRDefault="0094154B" w:rsidP="0094154B">
      <w:pPr>
        <w:rPr>
          <w:sz w:val="24"/>
          <w:szCs w:val="24"/>
        </w:rPr>
      </w:pPr>
      <w:r>
        <w:rPr>
          <w:sz w:val="24"/>
          <w:szCs w:val="24"/>
        </w:rPr>
        <w:t>Stipulated to:</w:t>
      </w:r>
    </w:p>
    <w:p w14:paraId="3934B8F0" w14:textId="36A7B1A5" w:rsidR="0094154B" w:rsidRDefault="0094154B" w:rsidP="0094154B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94"/>
        <w:gridCol w:w="5840"/>
      </w:tblGrid>
      <w:tr w:rsidR="0094154B" w14:paraId="2EA83277" w14:textId="77777777" w:rsidTr="00C24263">
        <w:tc>
          <w:tcPr>
            <w:tcW w:w="3116" w:type="dxa"/>
          </w:tcPr>
          <w:p w14:paraId="4E50C85E" w14:textId="560F86D8" w:rsidR="0094154B" w:rsidRDefault="00C24263" w:rsidP="0094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394" w:type="dxa"/>
          </w:tcPr>
          <w:p w14:paraId="0C23A3AE" w14:textId="77777777" w:rsidR="0094154B" w:rsidRDefault="0094154B" w:rsidP="0094154B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</w:tcPr>
          <w:p w14:paraId="4E4B0268" w14:textId="10BF3AD9" w:rsidR="0094154B" w:rsidRDefault="00C24263" w:rsidP="0094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By:</w:t>
            </w:r>
          </w:p>
        </w:tc>
      </w:tr>
      <w:tr w:rsidR="0094154B" w14:paraId="59E0880C" w14:textId="77777777" w:rsidTr="00C24263">
        <w:tc>
          <w:tcPr>
            <w:tcW w:w="3116" w:type="dxa"/>
          </w:tcPr>
          <w:p w14:paraId="05A4BB2D" w14:textId="77777777" w:rsidR="0094154B" w:rsidRDefault="0094154B" w:rsidP="0094154B">
            <w:pPr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14:paraId="1BAD6CD1" w14:textId="77777777" w:rsidR="0094154B" w:rsidRDefault="0094154B" w:rsidP="0094154B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</w:tcPr>
          <w:p w14:paraId="67343BA1" w14:textId="4ACE235E" w:rsidR="0094154B" w:rsidRDefault="00C24263" w:rsidP="0094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Plaintiffs’ Lead Counsel</w:t>
            </w:r>
          </w:p>
        </w:tc>
      </w:tr>
      <w:tr w:rsidR="00C24263" w14:paraId="38CF53A7" w14:textId="77777777" w:rsidTr="00C24263">
        <w:tc>
          <w:tcPr>
            <w:tcW w:w="3116" w:type="dxa"/>
          </w:tcPr>
          <w:p w14:paraId="53F1CBED" w14:textId="77777777" w:rsidR="00C24263" w:rsidRDefault="00C24263" w:rsidP="0094154B">
            <w:pPr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14:paraId="7E291A03" w14:textId="77777777" w:rsidR="00C24263" w:rsidRDefault="00C24263" w:rsidP="0094154B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</w:tcPr>
          <w:p w14:paraId="09D7D9E8" w14:textId="77777777" w:rsidR="00C24263" w:rsidRDefault="00C24263" w:rsidP="0094154B">
            <w:pPr>
              <w:rPr>
                <w:sz w:val="24"/>
                <w:szCs w:val="24"/>
              </w:rPr>
            </w:pPr>
          </w:p>
        </w:tc>
      </w:tr>
      <w:tr w:rsidR="00C24263" w14:paraId="7CC74B69" w14:textId="77777777" w:rsidTr="00C24263">
        <w:tc>
          <w:tcPr>
            <w:tcW w:w="3116" w:type="dxa"/>
          </w:tcPr>
          <w:p w14:paraId="204DCE0F" w14:textId="7FA1A688" w:rsidR="00C24263" w:rsidRDefault="00C24263" w:rsidP="0094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394" w:type="dxa"/>
          </w:tcPr>
          <w:p w14:paraId="63E6D2E3" w14:textId="77777777" w:rsidR="00C24263" w:rsidRDefault="00C24263" w:rsidP="0094154B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</w:tcPr>
          <w:p w14:paraId="29354C92" w14:textId="592513ED" w:rsidR="00C24263" w:rsidRDefault="00C24263" w:rsidP="0094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By:</w:t>
            </w:r>
          </w:p>
        </w:tc>
      </w:tr>
      <w:tr w:rsidR="00C24263" w14:paraId="544463D5" w14:textId="77777777" w:rsidTr="00C24263">
        <w:tc>
          <w:tcPr>
            <w:tcW w:w="3116" w:type="dxa"/>
          </w:tcPr>
          <w:p w14:paraId="58080064" w14:textId="77777777" w:rsidR="00C24263" w:rsidRDefault="00C24263" w:rsidP="0094154B">
            <w:pPr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14:paraId="4603EB23" w14:textId="77777777" w:rsidR="00C24263" w:rsidRDefault="00C24263" w:rsidP="0094154B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</w:tcPr>
          <w:p w14:paraId="1F608112" w14:textId="3BD7B3BF" w:rsidR="00C24263" w:rsidRDefault="00C24263" w:rsidP="0094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Defendant’s Lead Counsel</w:t>
            </w:r>
          </w:p>
        </w:tc>
      </w:tr>
    </w:tbl>
    <w:p w14:paraId="5A56D457" w14:textId="77777777" w:rsidR="0094154B" w:rsidRPr="0094154B" w:rsidRDefault="0094154B" w:rsidP="0094154B">
      <w:pPr>
        <w:rPr>
          <w:sz w:val="24"/>
          <w:szCs w:val="24"/>
        </w:rPr>
      </w:pPr>
    </w:p>
    <w:sectPr w:rsidR="0094154B" w:rsidRPr="00941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8665D" w14:textId="77777777" w:rsidR="00C50457" w:rsidRDefault="00C50457" w:rsidP="00C50457">
      <w:pPr>
        <w:spacing w:after="0" w:line="240" w:lineRule="auto"/>
      </w:pPr>
      <w:r>
        <w:separator/>
      </w:r>
    </w:p>
  </w:endnote>
  <w:endnote w:type="continuationSeparator" w:id="0">
    <w:p w14:paraId="32D0DD8B" w14:textId="77777777" w:rsidR="00C50457" w:rsidRDefault="00C50457" w:rsidP="00C5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653B1" w14:textId="77777777" w:rsidR="00C50457" w:rsidRDefault="00C50457" w:rsidP="00C50457">
      <w:pPr>
        <w:spacing w:after="0" w:line="240" w:lineRule="auto"/>
      </w:pPr>
      <w:r>
        <w:separator/>
      </w:r>
    </w:p>
  </w:footnote>
  <w:footnote w:type="continuationSeparator" w:id="0">
    <w:p w14:paraId="7E531322" w14:textId="77777777" w:rsidR="00C50457" w:rsidRDefault="00C50457" w:rsidP="00C5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6FD7"/>
    <w:multiLevelType w:val="hybridMultilevel"/>
    <w:tmpl w:val="4CBC3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6373E"/>
    <w:multiLevelType w:val="hybridMultilevel"/>
    <w:tmpl w:val="78AE4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80"/>
    <w:rsid w:val="000241AE"/>
    <w:rsid w:val="00066ED3"/>
    <w:rsid w:val="00477054"/>
    <w:rsid w:val="00521DDF"/>
    <w:rsid w:val="00690A51"/>
    <w:rsid w:val="006D7756"/>
    <w:rsid w:val="00722EFF"/>
    <w:rsid w:val="00752E64"/>
    <w:rsid w:val="007C11B5"/>
    <w:rsid w:val="00814080"/>
    <w:rsid w:val="00897CA3"/>
    <w:rsid w:val="00936720"/>
    <w:rsid w:val="0094154B"/>
    <w:rsid w:val="00B55126"/>
    <w:rsid w:val="00C24263"/>
    <w:rsid w:val="00C50457"/>
    <w:rsid w:val="00D43E21"/>
    <w:rsid w:val="00D66E14"/>
    <w:rsid w:val="00DA45E9"/>
    <w:rsid w:val="00E27941"/>
    <w:rsid w:val="00F4706F"/>
    <w:rsid w:val="00F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B6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0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7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0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457"/>
  </w:style>
  <w:style w:type="paragraph" w:styleId="Footer">
    <w:name w:val="footer"/>
    <w:basedOn w:val="Normal"/>
    <w:link w:val="FooterChar"/>
    <w:uiPriority w:val="99"/>
    <w:unhideWhenUsed/>
    <w:rsid w:val="00C50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57"/>
  </w:style>
  <w:style w:type="character" w:styleId="UnresolvedMention">
    <w:name w:val="Unresolved Mention"/>
    <w:basedOn w:val="DefaultParagraphFont"/>
    <w:uiPriority w:val="99"/>
    <w:semiHidden/>
    <w:unhideWhenUsed/>
    <w:rsid w:val="009415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94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d.uscourts.gov/FORMS/Clerks_Office/stmtredac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nd.uscourts.gov/FORMS/Clerks_Office/noticeintenttoredac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nd.uscourts.gov/cmecf/tr-ordering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2285</Characters>
  <Application>Microsoft Office Word</Application>
  <DocSecurity>0</DocSecurity>
  <Lines>103</Lines>
  <Paragraphs>75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2018-07-20T14:30:00Z</dcterms:created>
  <dcterms:modified xsi:type="dcterms:W3CDTF">2018-07-20T14:30:00Z</dcterms:modified>
</cp:coreProperties>
</file>